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2B" w:rsidRDefault="0020282B" w:rsidP="0020282B">
      <w:pPr>
        <w:spacing w:after="0"/>
        <w:rPr>
          <w:rFonts w:ascii="Verdana" w:eastAsia="Times New Roman" w:hAnsi="Verdana" w:cs="Times New Roman"/>
          <w:color w:val="222222"/>
          <w:sz w:val="24"/>
          <w:szCs w:val="24"/>
        </w:rPr>
      </w:pPr>
      <w:r w:rsidRPr="0020282B">
        <w:rPr>
          <w:rFonts w:ascii="Verdana" w:eastAsia="Times New Roman" w:hAnsi="Verdana" w:cs="Times New Roman"/>
          <w:color w:val="222222"/>
          <w:sz w:val="24"/>
          <w:szCs w:val="24"/>
        </w:rPr>
        <w:t>Tuesday Tidbit   Selecting a Challenge  October 2</w:t>
      </w:r>
      <w:bookmarkStart w:id="0" w:name="_GoBack"/>
      <w:bookmarkEnd w:id="0"/>
    </w:p>
    <w:p w:rsidR="0020282B" w:rsidRDefault="0020282B" w:rsidP="0020282B">
      <w:pPr>
        <w:spacing w:after="0"/>
        <w:rPr>
          <w:rFonts w:ascii="Verdana" w:eastAsia="Times New Roman" w:hAnsi="Verdana" w:cs="Times New Roman"/>
          <w:color w:val="222222"/>
          <w:sz w:val="24"/>
          <w:szCs w:val="24"/>
        </w:rPr>
      </w:pPr>
    </w:p>
    <w:p w:rsidR="0020282B" w:rsidRDefault="0020282B" w:rsidP="0020282B">
      <w:pPr>
        <w:spacing w:after="0"/>
        <w:rPr>
          <w:rFonts w:ascii="Verdana" w:eastAsia="Times New Roman" w:hAnsi="Verdana" w:cs="Times New Roman"/>
          <w:color w:val="222222"/>
          <w:sz w:val="24"/>
          <w:szCs w:val="24"/>
        </w:rPr>
      </w:pPr>
    </w:p>
    <w:p w:rsidR="0020282B" w:rsidRPr="0020282B" w:rsidRDefault="0020282B" w:rsidP="0020282B">
      <w:pPr>
        <w:spacing w:after="0"/>
        <w:rPr>
          <w:rFonts w:ascii="Verdana" w:eastAsia="Times New Roman" w:hAnsi="Verdana" w:cs="Times New Roman"/>
          <w:color w:val="222222"/>
          <w:sz w:val="24"/>
          <w:szCs w:val="24"/>
        </w:rPr>
      </w:pPr>
      <w:r w:rsidRPr="0020282B">
        <w:rPr>
          <w:rFonts w:ascii="Verdana" w:eastAsia="Times New Roman" w:hAnsi="Verdana" w:cs="Times New Roman"/>
          <w:color w:val="222222"/>
          <w:sz w:val="24"/>
          <w:szCs w:val="24"/>
        </w:rPr>
        <w:t>Rising Stars teams have no worries here, but for competitive teams selecting a challenge can be a divisive issue! </w:t>
      </w:r>
    </w:p>
    <w:p w:rsidR="0020282B" w:rsidRPr="0020282B" w:rsidRDefault="0020282B" w:rsidP="0020282B">
      <w:pPr>
        <w:spacing w:after="0"/>
        <w:rPr>
          <w:rFonts w:ascii="Verdana" w:eastAsia="Times New Roman" w:hAnsi="Verdana" w:cs="Times New Roman"/>
          <w:color w:val="222222"/>
          <w:sz w:val="24"/>
          <w:szCs w:val="24"/>
        </w:rPr>
      </w:pPr>
    </w:p>
    <w:p w:rsidR="0020282B" w:rsidRPr="0020282B" w:rsidRDefault="0020282B" w:rsidP="0020282B">
      <w:pPr>
        <w:numPr>
          <w:ilvl w:val="0"/>
          <w:numId w:val="1"/>
        </w:numPr>
        <w:spacing w:before="100" w:beforeAutospacing="1" w:after="100" w:afterAutospacing="1"/>
        <w:ind w:left="945"/>
        <w:rPr>
          <w:rFonts w:ascii="Verdana" w:eastAsia="Times New Roman" w:hAnsi="Verdana" w:cs="Times New Roman"/>
          <w:color w:val="222222"/>
          <w:sz w:val="24"/>
          <w:szCs w:val="24"/>
        </w:rPr>
      </w:pPr>
      <w:r w:rsidRPr="0020282B">
        <w:rPr>
          <w:rFonts w:ascii="Verdana" w:eastAsia="Times New Roman" w:hAnsi="Verdana" w:cs="Times New Roman"/>
          <w:color w:val="222222"/>
          <w:sz w:val="24"/>
          <w:szCs w:val="24"/>
        </w:rPr>
        <w:t>Have all team members watch the Instant Challenge video </w:t>
      </w:r>
      <w:hyperlink r:id="rId6" w:tgtFrame="_blank" w:history="1">
        <w:r w:rsidRPr="0020282B">
          <w:rPr>
            <w:rFonts w:ascii="Verdana" w:eastAsia="Times New Roman" w:hAnsi="Verdana" w:cs="Times New Roman"/>
            <w:color w:val="1155CC"/>
            <w:sz w:val="24"/>
            <w:szCs w:val="24"/>
            <w:u w:val="single"/>
          </w:rPr>
          <w:t>(GFWDI Home | 2018 2019 Challenge Info)</w:t>
        </w:r>
      </w:hyperlink>
      <w:r w:rsidRPr="0020282B">
        <w:rPr>
          <w:rFonts w:ascii="Verdana" w:eastAsia="Times New Roman" w:hAnsi="Verdana" w:cs="Times New Roman"/>
          <w:color w:val="222222"/>
          <w:sz w:val="24"/>
          <w:szCs w:val="24"/>
        </w:rPr>
        <w:t> so they hear the importance this has on their final score.  Even the RS teams will do IC.  Then watch the 6 synopsis videos of each team challenge. </w:t>
      </w:r>
    </w:p>
    <w:p w:rsidR="0020282B" w:rsidRPr="0020282B" w:rsidRDefault="0020282B" w:rsidP="0020282B">
      <w:pPr>
        <w:spacing w:before="100" w:beforeAutospacing="1" w:after="100" w:afterAutospacing="1"/>
        <w:ind w:left="945"/>
        <w:rPr>
          <w:rFonts w:ascii="Verdana" w:eastAsia="Times New Roman" w:hAnsi="Verdana" w:cs="Times New Roman"/>
          <w:color w:val="222222"/>
          <w:sz w:val="24"/>
          <w:szCs w:val="24"/>
        </w:rPr>
      </w:pPr>
    </w:p>
    <w:tbl>
      <w:tblPr>
        <w:tblW w:w="0" w:type="auto"/>
        <w:tblCellSpacing w:w="0" w:type="dxa"/>
        <w:tblInd w:w="945" w:type="dxa"/>
        <w:tblCellMar>
          <w:left w:w="0" w:type="dxa"/>
          <w:right w:w="0" w:type="dxa"/>
        </w:tblCellMar>
        <w:tblLook w:val="04A0" w:firstRow="1" w:lastRow="0" w:firstColumn="1" w:lastColumn="0" w:noHBand="0" w:noVBand="1"/>
      </w:tblPr>
      <w:tblGrid>
        <w:gridCol w:w="6016"/>
      </w:tblGrid>
      <w:tr w:rsidR="0020282B" w:rsidRPr="0020282B" w:rsidTr="0020282B">
        <w:trPr>
          <w:tblCellSpacing w:w="0" w:type="dxa"/>
        </w:trPr>
        <w:tc>
          <w:tcPr>
            <w:tcW w:w="6000" w:type="dxa"/>
            <w:vAlign w:val="center"/>
            <w:hideMark/>
          </w:tcPr>
          <w:tbl>
            <w:tblPr>
              <w:tblW w:w="5000" w:type="pct"/>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6000"/>
            </w:tblGrid>
            <w:tr w:rsidR="0020282B" w:rsidRPr="0020282B">
              <w:trPr>
                <w:trHeight w:val="2625"/>
                <w:tblCellSpacing w:w="0" w:type="dxa"/>
              </w:trPr>
              <w:tc>
                <w:tcPr>
                  <w:tcW w:w="0" w:type="auto"/>
                  <w:shd w:val="clear" w:color="auto" w:fill="000000"/>
                  <w:hideMark/>
                </w:tcPr>
                <w:tbl>
                  <w:tblPr>
                    <w:tblW w:w="5970" w:type="dxa"/>
                    <w:tblCellSpacing w:w="0" w:type="dxa"/>
                    <w:tblCellMar>
                      <w:left w:w="0" w:type="dxa"/>
                      <w:right w:w="0" w:type="dxa"/>
                    </w:tblCellMar>
                    <w:tblLook w:val="04A0" w:firstRow="1" w:lastRow="0" w:firstColumn="1" w:lastColumn="0" w:noHBand="0" w:noVBand="1"/>
                  </w:tblPr>
                  <w:tblGrid>
                    <w:gridCol w:w="5970"/>
                  </w:tblGrid>
                  <w:tr w:rsidR="0020282B" w:rsidRPr="0020282B">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firstRow="1" w:lastRow="0" w:firstColumn="1" w:lastColumn="0" w:noHBand="0" w:noVBand="1"/>
                        </w:tblPr>
                        <w:tblGrid>
                          <w:gridCol w:w="2985"/>
                          <w:gridCol w:w="2985"/>
                        </w:tblGrid>
                        <w:tr w:rsidR="0020282B" w:rsidRPr="0020282B">
                          <w:trPr>
                            <w:tblCellSpacing w:w="15" w:type="dxa"/>
                          </w:trPr>
                          <w:tc>
                            <w:tcPr>
                              <w:tcW w:w="0" w:type="auto"/>
                              <w:tcMar>
                                <w:top w:w="225" w:type="dxa"/>
                                <w:left w:w="225" w:type="dxa"/>
                                <w:bottom w:w="0" w:type="dxa"/>
                                <w:right w:w="0" w:type="dxa"/>
                              </w:tcMar>
                              <w:hideMark/>
                            </w:tcPr>
                            <w:p w:rsidR="0020282B" w:rsidRPr="0020282B" w:rsidRDefault="0020282B" w:rsidP="0020282B">
                              <w:pPr>
                                <w:spacing w:after="0"/>
                                <w:rPr>
                                  <w:rFonts w:ascii="Roboto" w:eastAsia="Times New Roman" w:hAnsi="Roboto" w:cs="Times New Roman"/>
                                  <w:sz w:val="24"/>
                                  <w:szCs w:val="24"/>
                                </w:rPr>
                              </w:pPr>
                            </w:p>
                          </w:tc>
                          <w:tc>
                            <w:tcPr>
                              <w:tcW w:w="0" w:type="auto"/>
                              <w:tcMar>
                                <w:top w:w="225" w:type="dxa"/>
                                <w:left w:w="0" w:type="dxa"/>
                                <w:bottom w:w="0" w:type="dxa"/>
                                <w:right w:w="225" w:type="dxa"/>
                              </w:tcMar>
                              <w:hideMark/>
                            </w:tcPr>
                            <w:p w:rsidR="0020282B" w:rsidRPr="0020282B" w:rsidRDefault="0020282B" w:rsidP="0020282B">
                              <w:pPr>
                                <w:spacing w:after="0"/>
                                <w:jc w:val="right"/>
                                <w:rPr>
                                  <w:rFonts w:ascii="Roboto" w:eastAsia="Times New Roman" w:hAnsi="Roboto" w:cs="Times New Roman"/>
                                  <w:sz w:val="24"/>
                                  <w:szCs w:val="24"/>
                                </w:rPr>
                              </w:pPr>
                            </w:p>
                          </w:tc>
                        </w:tr>
                      </w:tbl>
                      <w:p w:rsidR="0020282B" w:rsidRPr="0020282B" w:rsidRDefault="0020282B" w:rsidP="0020282B">
                        <w:pPr>
                          <w:spacing w:after="0"/>
                          <w:rPr>
                            <w:rFonts w:ascii="Roboto" w:eastAsia="Times New Roman" w:hAnsi="Roboto" w:cs="Times New Roman"/>
                            <w:sz w:val="24"/>
                            <w:szCs w:val="24"/>
                          </w:rPr>
                        </w:pPr>
                      </w:p>
                    </w:tc>
                  </w:tr>
                </w:tbl>
                <w:p w:rsidR="0020282B" w:rsidRPr="0020282B" w:rsidRDefault="0020282B" w:rsidP="0020282B">
                  <w:pPr>
                    <w:spacing w:after="0"/>
                    <w:rPr>
                      <w:rFonts w:ascii="Roboto" w:eastAsia="Times New Roman" w:hAnsi="Roboto" w:cs="Times New Roman"/>
                      <w:sz w:val="24"/>
                      <w:szCs w:val="24"/>
                    </w:rPr>
                  </w:pPr>
                </w:p>
              </w:tc>
            </w:tr>
            <w:tr w:rsidR="0020282B" w:rsidRPr="0020282B">
              <w:trPr>
                <w:tblCellSpacing w:w="0" w:type="dxa"/>
              </w:trPr>
              <w:tc>
                <w:tcPr>
                  <w:tcW w:w="0" w:type="auto"/>
                  <w:vAlign w:val="center"/>
                  <w:hideMark/>
                </w:tcPr>
                <w:tbl>
                  <w:tblPr>
                    <w:tblW w:w="5970" w:type="dxa"/>
                    <w:jc w:val="center"/>
                    <w:tblCellSpacing w:w="0" w:type="dxa"/>
                    <w:tblBorders>
                      <w:top w:val="single" w:sz="6" w:space="0" w:color="E0E4E9"/>
                    </w:tblBorders>
                    <w:tblCellMar>
                      <w:left w:w="0" w:type="dxa"/>
                      <w:right w:w="0" w:type="dxa"/>
                    </w:tblCellMar>
                    <w:tblLook w:val="04A0" w:firstRow="1" w:lastRow="0" w:firstColumn="1" w:lastColumn="0" w:noHBand="0" w:noVBand="1"/>
                  </w:tblPr>
                  <w:tblGrid>
                    <w:gridCol w:w="720"/>
                    <w:gridCol w:w="5250"/>
                  </w:tblGrid>
                  <w:tr w:rsidR="0020282B" w:rsidRPr="0020282B">
                    <w:trPr>
                      <w:tblCellSpacing w:w="0" w:type="dxa"/>
                      <w:jc w:val="center"/>
                    </w:trPr>
                    <w:tc>
                      <w:tcPr>
                        <w:tcW w:w="0" w:type="auto"/>
                        <w:tcMar>
                          <w:top w:w="240" w:type="dxa"/>
                          <w:left w:w="180" w:type="dxa"/>
                          <w:bottom w:w="240" w:type="dxa"/>
                          <w:right w:w="0" w:type="dxa"/>
                        </w:tcMar>
                        <w:hideMark/>
                      </w:tcPr>
                      <w:p w:rsidR="0020282B" w:rsidRPr="0020282B" w:rsidRDefault="0020282B" w:rsidP="0020282B">
                        <w:pPr>
                          <w:spacing w:after="0"/>
                          <w:rPr>
                            <w:rFonts w:ascii="Roboto" w:eastAsia="Times New Roman" w:hAnsi="Roboto" w:cs="Times New Roman"/>
                            <w:sz w:val="24"/>
                            <w:szCs w:val="24"/>
                          </w:rPr>
                        </w:pPr>
                      </w:p>
                    </w:tc>
                    <w:tc>
                      <w:tcPr>
                        <w:tcW w:w="5250" w:type="dxa"/>
                        <w:tcMar>
                          <w:top w:w="180" w:type="dxa"/>
                          <w:left w:w="180" w:type="dxa"/>
                          <w:bottom w:w="240" w:type="dxa"/>
                          <w:right w:w="360" w:type="dxa"/>
                        </w:tcMar>
                        <w:vAlign w:val="center"/>
                        <w:hideMark/>
                      </w:tcPr>
                      <w:p w:rsidR="0020282B" w:rsidRPr="0020282B" w:rsidRDefault="0020282B" w:rsidP="0020282B">
                        <w:pPr>
                          <w:spacing w:after="90" w:line="285" w:lineRule="atLeast"/>
                          <w:outlineLvl w:val="1"/>
                          <w:rPr>
                            <w:rFonts w:ascii="Segoe UI" w:eastAsia="Times New Roman" w:hAnsi="Segoe UI" w:cs="Segoe UI"/>
                            <w:b/>
                            <w:bCs/>
                            <w:color w:val="26282A"/>
                            <w:sz w:val="21"/>
                            <w:szCs w:val="21"/>
                          </w:rPr>
                        </w:pPr>
                        <w:r w:rsidRPr="0020282B">
                          <w:rPr>
                            <w:rFonts w:ascii="Segoe UI" w:eastAsia="Times New Roman" w:hAnsi="Segoe UI" w:cs="Segoe UI"/>
                            <w:b/>
                            <w:bCs/>
                            <w:color w:val="26282A"/>
                            <w:sz w:val="21"/>
                            <w:szCs w:val="21"/>
                          </w:rPr>
                          <w:t>GFWDI Home | 2018 2019 Challenge Info</w:t>
                        </w:r>
                      </w:p>
                      <w:p w:rsidR="0020282B" w:rsidRPr="0020282B" w:rsidRDefault="0020282B" w:rsidP="0020282B">
                        <w:pPr>
                          <w:spacing w:after="0" w:line="240" w:lineRule="atLeast"/>
                          <w:rPr>
                            <w:rFonts w:ascii="Segoe UI" w:eastAsia="Times New Roman" w:hAnsi="Segoe UI" w:cs="Segoe UI"/>
                            <w:color w:val="979BA7"/>
                            <w:sz w:val="18"/>
                            <w:szCs w:val="18"/>
                          </w:rPr>
                        </w:pPr>
                        <w:r w:rsidRPr="0020282B">
                          <w:rPr>
                            <w:rFonts w:ascii="Segoe UI" w:eastAsia="Times New Roman" w:hAnsi="Segoe UI" w:cs="Segoe UI"/>
                            <w:color w:val="979BA7"/>
                            <w:sz w:val="18"/>
                            <w:szCs w:val="18"/>
                          </w:rPr>
                          <w:t>This is the entry page to the Greater Fort Worth Destination Imagination website. It contains useful links to in...</w:t>
                        </w:r>
                      </w:p>
                    </w:tc>
                  </w:tr>
                </w:tbl>
                <w:p w:rsidR="0020282B" w:rsidRPr="0020282B" w:rsidRDefault="0020282B" w:rsidP="0020282B">
                  <w:pPr>
                    <w:spacing w:after="0"/>
                    <w:rPr>
                      <w:rFonts w:ascii="Roboto" w:eastAsia="Times New Roman" w:hAnsi="Roboto" w:cs="Times New Roman"/>
                      <w:sz w:val="24"/>
                      <w:szCs w:val="24"/>
                    </w:rPr>
                  </w:pPr>
                </w:p>
              </w:tc>
            </w:tr>
          </w:tbl>
          <w:p w:rsidR="0020282B" w:rsidRPr="0020282B" w:rsidRDefault="0020282B" w:rsidP="0020282B">
            <w:pPr>
              <w:spacing w:after="0"/>
              <w:rPr>
                <w:rFonts w:ascii="Roboto" w:eastAsia="Times New Roman" w:hAnsi="Roboto" w:cs="Times New Roman"/>
                <w:sz w:val="24"/>
                <w:szCs w:val="24"/>
              </w:rPr>
            </w:pPr>
          </w:p>
        </w:tc>
      </w:tr>
    </w:tbl>
    <w:p w:rsidR="0020282B" w:rsidRPr="0020282B" w:rsidRDefault="0020282B" w:rsidP="0020282B">
      <w:pPr>
        <w:spacing w:before="100" w:beforeAutospacing="1" w:after="100" w:afterAutospacing="1"/>
        <w:rPr>
          <w:rFonts w:ascii="Verdana" w:eastAsia="Times New Roman" w:hAnsi="Verdana" w:cs="Times New Roman"/>
          <w:color w:val="222222"/>
          <w:sz w:val="24"/>
          <w:szCs w:val="24"/>
        </w:rPr>
      </w:pPr>
    </w:p>
    <w:p w:rsidR="0020282B" w:rsidRPr="0020282B" w:rsidRDefault="0020282B" w:rsidP="0020282B">
      <w:pPr>
        <w:numPr>
          <w:ilvl w:val="0"/>
          <w:numId w:val="1"/>
        </w:numPr>
        <w:spacing w:before="100" w:beforeAutospacing="1" w:after="100" w:afterAutospacing="1"/>
        <w:ind w:left="945"/>
        <w:rPr>
          <w:rFonts w:ascii="Verdana" w:eastAsia="Times New Roman" w:hAnsi="Verdana" w:cs="Times New Roman"/>
          <w:color w:val="222222"/>
          <w:sz w:val="24"/>
          <w:szCs w:val="24"/>
        </w:rPr>
      </w:pPr>
      <w:r w:rsidRPr="0020282B">
        <w:rPr>
          <w:rFonts w:ascii="Verdana" w:eastAsia="Times New Roman" w:hAnsi="Verdana" w:cs="Times New Roman"/>
          <w:color w:val="222222"/>
          <w:sz w:val="24"/>
          <w:szCs w:val="24"/>
        </w:rPr>
        <w:t xml:space="preserve">Dismiss the ones that no one wants, </w:t>
      </w:r>
      <w:proofErr w:type="gramStart"/>
      <w:r w:rsidRPr="0020282B">
        <w:rPr>
          <w:rFonts w:ascii="Verdana" w:eastAsia="Times New Roman" w:hAnsi="Verdana" w:cs="Times New Roman"/>
          <w:color w:val="222222"/>
          <w:sz w:val="24"/>
          <w:szCs w:val="24"/>
        </w:rPr>
        <w:t>then</w:t>
      </w:r>
      <w:proofErr w:type="gramEnd"/>
      <w:r w:rsidRPr="0020282B">
        <w:rPr>
          <w:rFonts w:ascii="Verdana" w:eastAsia="Times New Roman" w:hAnsi="Verdana" w:cs="Times New Roman"/>
          <w:color w:val="222222"/>
          <w:sz w:val="24"/>
          <w:szCs w:val="24"/>
        </w:rPr>
        <w:t xml:space="preserve"> try to narrow the field to two.  </w:t>
      </w:r>
    </w:p>
    <w:p w:rsidR="0020282B" w:rsidRPr="0020282B" w:rsidRDefault="0020282B" w:rsidP="0020282B">
      <w:pPr>
        <w:numPr>
          <w:ilvl w:val="0"/>
          <w:numId w:val="1"/>
        </w:numPr>
        <w:spacing w:before="100" w:beforeAutospacing="1" w:after="100" w:afterAutospacing="1"/>
        <w:ind w:left="945"/>
        <w:rPr>
          <w:rFonts w:ascii="Verdana" w:eastAsia="Times New Roman" w:hAnsi="Verdana" w:cs="Times New Roman"/>
          <w:color w:val="222222"/>
          <w:sz w:val="24"/>
          <w:szCs w:val="24"/>
        </w:rPr>
      </w:pPr>
      <w:r w:rsidRPr="0020282B">
        <w:rPr>
          <w:rFonts w:ascii="Verdana" w:eastAsia="Times New Roman" w:hAnsi="Verdana" w:cs="Times New Roman"/>
          <w:color w:val="222222"/>
          <w:sz w:val="24"/>
          <w:szCs w:val="24"/>
        </w:rPr>
        <w:t>Make lists of the PROs and CONs of each challenge, with all team members contributing.  If it isn't obvious, or if someone is making consensus building impossible, then try another list.  </w:t>
      </w:r>
    </w:p>
    <w:p w:rsidR="0020282B" w:rsidRPr="0020282B" w:rsidRDefault="0020282B" w:rsidP="0020282B">
      <w:pPr>
        <w:numPr>
          <w:ilvl w:val="0"/>
          <w:numId w:val="1"/>
        </w:numPr>
        <w:spacing w:before="100" w:beforeAutospacing="1" w:after="100" w:afterAutospacing="1"/>
        <w:ind w:left="945"/>
        <w:rPr>
          <w:rFonts w:ascii="Verdana" w:eastAsia="Times New Roman" w:hAnsi="Verdana" w:cs="Times New Roman"/>
          <w:color w:val="222222"/>
          <w:sz w:val="24"/>
          <w:szCs w:val="24"/>
        </w:rPr>
      </w:pPr>
      <w:r w:rsidRPr="0020282B">
        <w:rPr>
          <w:rFonts w:ascii="Verdana" w:eastAsia="Times New Roman" w:hAnsi="Verdana" w:cs="Times New Roman"/>
          <w:color w:val="222222"/>
          <w:sz w:val="24"/>
          <w:szCs w:val="24"/>
        </w:rPr>
        <w:t>What is the aspect of the challenge that you really like?  Is there a way to "merge" the two?  If you want to make a structure or a vehicle, can that be done and integrated into the other challenge?  What special skills do any of the team members bring that will add points in a given challenge?</w:t>
      </w:r>
    </w:p>
    <w:p w:rsidR="0020282B" w:rsidRPr="0020282B" w:rsidRDefault="0020282B" w:rsidP="0020282B">
      <w:pPr>
        <w:numPr>
          <w:ilvl w:val="0"/>
          <w:numId w:val="1"/>
        </w:numPr>
        <w:spacing w:before="100" w:beforeAutospacing="1" w:after="100" w:afterAutospacing="1"/>
        <w:ind w:left="945"/>
        <w:rPr>
          <w:rFonts w:ascii="Verdana" w:eastAsia="Times New Roman" w:hAnsi="Verdana" w:cs="Times New Roman"/>
          <w:color w:val="222222"/>
          <w:sz w:val="24"/>
          <w:szCs w:val="24"/>
        </w:rPr>
      </w:pPr>
      <w:r w:rsidRPr="0020282B">
        <w:rPr>
          <w:rFonts w:ascii="Verdana" w:eastAsia="Times New Roman" w:hAnsi="Verdana" w:cs="Times New Roman"/>
          <w:color w:val="222222"/>
          <w:sz w:val="24"/>
          <w:szCs w:val="24"/>
        </w:rPr>
        <w:lastRenderedPageBreak/>
        <w:t>Finding connections between widely divergent ideas often leads to truly unique creativity.  Keep the atmosphere calm and keep asking questions.</w:t>
      </w:r>
    </w:p>
    <w:p w:rsidR="008A3547" w:rsidRPr="0020282B" w:rsidRDefault="008A3547">
      <w:pPr>
        <w:rPr>
          <w:rFonts w:ascii="Verdana" w:hAnsi="Verdana"/>
          <w:sz w:val="28"/>
          <w:szCs w:val="28"/>
        </w:rPr>
      </w:pPr>
    </w:p>
    <w:sectPr w:rsidR="008A3547" w:rsidRPr="00202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3BFC"/>
    <w:multiLevelType w:val="multilevel"/>
    <w:tmpl w:val="D95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2B"/>
    <w:rsid w:val="0020282B"/>
    <w:rsid w:val="008A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56215">
      <w:bodyDiv w:val="1"/>
      <w:marLeft w:val="0"/>
      <w:marRight w:val="0"/>
      <w:marTop w:val="0"/>
      <w:marBottom w:val="0"/>
      <w:divBdr>
        <w:top w:val="none" w:sz="0" w:space="0" w:color="auto"/>
        <w:left w:val="none" w:sz="0" w:space="0" w:color="auto"/>
        <w:bottom w:val="none" w:sz="0" w:space="0" w:color="auto"/>
        <w:right w:val="none" w:sz="0" w:space="0" w:color="auto"/>
      </w:divBdr>
      <w:divsChild>
        <w:div w:id="1488403922">
          <w:marLeft w:val="0"/>
          <w:marRight w:val="0"/>
          <w:marTop w:val="0"/>
          <w:marBottom w:val="0"/>
          <w:divBdr>
            <w:top w:val="none" w:sz="0" w:space="0" w:color="auto"/>
            <w:left w:val="none" w:sz="0" w:space="0" w:color="auto"/>
            <w:bottom w:val="none" w:sz="0" w:space="0" w:color="auto"/>
            <w:right w:val="none" w:sz="0" w:space="0" w:color="auto"/>
          </w:divBdr>
        </w:div>
        <w:div w:id="713652887">
          <w:marLeft w:val="0"/>
          <w:marRight w:val="0"/>
          <w:marTop w:val="0"/>
          <w:marBottom w:val="0"/>
          <w:divBdr>
            <w:top w:val="none" w:sz="0" w:space="0" w:color="auto"/>
            <w:left w:val="none" w:sz="0" w:space="0" w:color="auto"/>
            <w:bottom w:val="none" w:sz="0" w:space="0" w:color="auto"/>
            <w:right w:val="none" w:sz="0" w:space="0" w:color="auto"/>
          </w:divBdr>
        </w:div>
        <w:div w:id="1231382095">
          <w:marLeft w:val="0"/>
          <w:marRight w:val="0"/>
          <w:marTop w:val="0"/>
          <w:marBottom w:val="0"/>
          <w:divBdr>
            <w:top w:val="none" w:sz="0" w:space="0" w:color="auto"/>
            <w:left w:val="none" w:sz="0" w:space="0" w:color="auto"/>
            <w:bottom w:val="none" w:sz="0" w:space="0" w:color="auto"/>
            <w:right w:val="none" w:sz="0" w:space="0" w:color="auto"/>
          </w:divBdr>
        </w:div>
        <w:div w:id="2096396285">
          <w:marLeft w:val="0"/>
          <w:marRight w:val="0"/>
          <w:marTop w:val="0"/>
          <w:marBottom w:val="0"/>
          <w:divBdr>
            <w:top w:val="none" w:sz="0" w:space="0" w:color="auto"/>
            <w:left w:val="none" w:sz="0" w:space="0" w:color="auto"/>
            <w:bottom w:val="none" w:sz="0" w:space="0" w:color="auto"/>
            <w:right w:val="none" w:sz="0" w:space="0" w:color="auto"/>
          </w:divBdr>
        </w:div>
        <w:div w:id="969630237">
          <w:marLeft w:val="0"/>
          <w:marRight w:val="0"/>
          <w:marTop w:val="0"/>
          <w:marBottom w:val="0"/>
          <w:divBdr>
            <w:top w:val="none" w:sz="0" w:space="0" w:color="auto"/>
            <w:left w:val="none" w:sz="0" w:space="0" w:color="auto"/>
            <w:bottom w:val="none" w:sz="0" w:space="0" w:color="auto"/>
            <w:right w:val="none" w:sz="0" w:space="0" w:color="auto"/>
          </w:divBdr>
        </w:div>
        <w:div w:id="171377593">
          <w:marLeft w:val="0"/>
          <w:marRight w:val="0"/>
          <w:marTop w:val="0"/>
          <w:marBottom w:val="0"/>
          <w:divBdr>
            <w:top w:val="none" w:sz="0" w:space="0" w:color="auto"/>
            <w:left w:val="none" w:sz="0" w:space="0" w:color="auto"/>
            <w:bottom w:val="none" w:sz="0" w:space="0" w:color="auto"/>
            <w:right w:val="none" w:sz="0" w:space="0" w:color="auto"/>
          </w:divBdr>
        </w:div>
        <w:div w:id="1240097255">
          <w:marLeft w:val="0"/>
          <w:marRight w:val="0"/>
          <w:marTop w:val="0"/>
          <w:marBottom w:val="0"/>
          <w:divBdr>
            <w:top w:val="none" w:sz="0" w:space="0" w:color="auto"/>
            <w:left w:val="none" w:sz="0" w:space="0" w:color="auto"/>
            <w:bottom w:val="none" w:sz="0" w:space="0" w:color="auto"/>
            <w:right w:val="none" w:sz="0" w:space="0" w:color="auto"/>
          </w:divBdr>
        </w:div>
        <w:div w:id="241186609">
          <w:marLeft w:val="0"/>
          <w:marRight w:val="0"/>
          <w:marTop w:val="0"/>
          <w:marBottom w:val="0"/>
          <w:divBdr>
            <w:top w:val="none" w:sz="0" w:space="0" w:color="auto"/>
            <w:left w:val="none" w:sz="0" w:space="0" w:color="auto"/>
            <w:bottom w:val="none" w:sz="0" w:space="0" w:color="auto"/>
            <w:right w:val="none" w:sz="0" w:space="0" w:color="auto"/>
          </w:divBdr>
        </w:div>
        <w:div w:id="1767310426">
          <w:marLeft w:val="0"/>
          <w:marRight w:val="0"/>
          <w:marTop w:val="0"/>
          <w:marBottom w:val="0"/>
          <w:divBdr>
            <w:top w:val="none" w:sz="0" w:space="0" w:color="auto"/>
            <w:left w:val="none" w:sz="0" w:space="0" w:color="auto"/>
            <w:bottom w:val="none" w:sz="0" w:space="0" w:color="auto"/>
            <w:right w:val="none" w:sz="0" w:space="0" w:color="auto"/>
          </w:divBdr>
        </w:div>
        <w:div w:id="1779326796">
          <w:marLeft w:val="0"/>
          <w:marRight w:val="0"/>
          <w:marTop w:val="0"/>
          <w:marBottom w:val="0"/>
          <w:divBdr>
            <w:top w:val="none" w:sz="0" w:space="0" w:color="auto"/>
            <w:left w:val="none" w:sz="0" w:space="0" w:color="auto"/>
            <w:bottom w:val="none" w:sz="0" w:space="0" w:color="auto"/>
            <w:right w:val="none" w:sz="0" w:space="0" w:color="auto"/>
          </w:divBdr>
        </w:div>
        <w:div w:id="207593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fwdi.org/regional-tourna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1</cp:revision>
  <dcterms:created xsi:type="dcterms:W3CDTF">2018-10-08T19:25:00Z</dcterms:created>
  <dcterms:modified xsi:type="dcterms:W3CDTF">2018-10-08T19:27:00Z</dcterms:modified>
</cp:coreProperties>
</file>